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VIENOŠANĀS </w:t>
      </w:r>
    </w:p>
    <w:p w:rsidR="00000000" w:rsidDel="00000000" w:rsidP="00000000" w:rsidRDefault="00000000" w:rsidRPr="00000000" w14:paraId="00000002">
      <w:pPr>
        <w:tabs>
          <w:tab w:val="left" w:leader="none" w:pos="6096"/>
        </w:tabs>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Par pēcapmaksas pakalpojumiem</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Nr. 2023/____</w:t>
      </w:r>
    </w:p>
    <w:p w:rsidR="00000000" w:rsidDel="00000000" w:rsidP="00000000" w:rsidRDefault="00000000" w:rsidRPr="00000000" w14:paraId="00000004">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tbl>
      <w:tblPr>
        <w:tblStyle w:val="Table1"/>
        <w:tblW w:w="9026.0" w:type="dxa"/>
        <w:jc w:val="left"/>
        <w:tblLayout w:type="fixed"/>
        <w:tblLook w:val="0400"/>
      </w:tblPr>
      <w:tblGrid>
        <w:gridCol w:w="4417"/>
        <w:gridCol w:w="4609"/>
        <w:tblGridChange w:id="0">
          <w:tblGrid>
            <w:gridCol w:w="4417"/>
            <w:gridCol w:w="4609"/>
          </w:tblGrid>
        </w:tblGridChange>
      </w:tblGrid>
      <w:tr>
        <w:trPr>
          <w:cantSplit w:val="0"/>
          <w:tblHeader w:val="0"/>
        </w:trPr>
        <w:tc>
          <w:tcPr>
            <w:shd w:fill="auto" w:val="clear"/>
          </w:tcPr>
          <w:p w:rsidR="00000000" w:rsidDel="00000000" w:rsidP="00000000" w:rsidRDefault="00000000" w:rsidRPr="00000000" w14:paraId="00000005">
            <w:pPr>
              <w:tabs>
                <w:tab w:val="right" w:leader="none" w:pos="9072"/>
              </w:tabs>
              <w:spacing w:line="240" w:lineRule="auto"/>
              <w:ind w:left="-1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Rīga</w:t>
            </w:r>
          </w:p>
        </w:tc>
        <w:tc>
          <w:tcPr>
            <w:shd w:fill="auto" w:val="clear"/>
          </w:tcPr>
          <w:p w:rsidR="00000000" w:rsidDel="00000000" w:rsidP="00000000" w:rsidRDefault="00000000" w:rsidRPr="00000000" w14:paraId="00000006">
            <w:pPr>
              <w:tabs>
                <w:tab w:val="right" w:leader="none" w:pos="9072"/>
              </w:tabs>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2023.gada _____.___________</w:t>
            </w:r>
          </w:p>
        </w:tc>
      </w:tr>
      <w:tr>
        <w:trPr>
          <w:cantSplit w:val="0"/>
          <w:tblHeader w:val="0"/>
        </w:trPr>
        <w:tc>
          <w:tcPr>
            <w:shd w:fill="auto" w:val="clear"/>
          </w:tcPr>
          <w:p w:rsidR="00000000" w:rsidDel="00000000" w:rsidP="00000000" w:rsidRDefault="00000000" w:rsidRPr="00000000" w14:paraId="00000007">
            <w:pPr>
              <w:tabs>
                <w:tab w:val="right" w:leader="none" w:pos="9072"/>
              </w:tabs>
              <w:spacing w:line="240" w:lineRule="auto"/>
              <w:ind w:left="-109" w:firstLine="0"/>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08">
            <w:pPr>
              <w:tabs>
                <w:tab w:val="right" w:leader="none" w:pos="9072"/>
              </w:tabs>
              <w:spacing w:line="240" w:lineRule="auto"/>
              <w:jc w:val="righ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9">
      <w:pPr>
        <w:spacing w:lin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SIA Meža birža</w:t>
      </w:r>
      <w:r w:rsidDel="00000000" w:rsidR="00000000" w:rsidRPr="00000000">
        <w:rPr>
          <w:rFonts w:ascii="Times New Roman" w:cs="Times New Roman" w:eastAsia="Times New Roman" w:hAnsi="Times New Roman"/>
          <w:sz w:val="24"/>
          <w:szCs w:val="24"/>
          <w:rtl w:val="0"/>
        </w:rPr>
        <w:t xml:space="preserve">, Reģ.Nr. </w:t>
      </w:r>
      <w:r w:rsidDel="00000000" w:rsidR="00000000" w:rsidRPr="00000000">
        <w:rPr>
          <w:rFonts w:ascii="Times New Roman" w:cs="Times New Roman" w:eastAsia="Times New Roman" w:hAnsi="Times New Roman"/>
          <w:sz w:val="24"/>
          <w:szCs w:val="24"/>
          <w:highlight w:val="white"/>
          <w:rtl w:val="0"/>
        </w:rPr>
        <w:t xml:space="preserve">​44103084337</w:t>
      </w:r>
      <w:r w:rsidDel="00000000" w:rsidR="00000000" w:rsidRPr="00000000">
        <w:rPr>
          <w:rFonts w:ascii="Times New Roman" w:cs="Times New Roman" w:eastAsia="Times New Roman" w:hAnsi="Times New Roman"/>
          <w:sz w:val="24"/>
          <w:szCs w:val="24"/>
          <w:rtl w:val="0"/>
        </w:rPr>
        <w:t xml:space="preserve">, Dēļu ielā 4-8, Rīgā, LV-1004, tā valdes locekļa </w:t>
      </w:r>
      <w:r w:rsidDel="00000000" w:rsidR="00000000" w:rsidRPr="00000000">
        <w:rPr>
          <w:rFonts w:ascii="Times New Roman" w:cs="Times New Roman" w:eastAsia="Times New Roman" w:hAnsi="Times New Roman"/>
          <w:b w:val="1"/>
          <w:sz w:val="24"/>
          <w:szCs w:val="24"/>
          <w:rtl w:val="0"/>
        </w:rPr>
        <w:t xml:space="preserve">Janeka Kamerovska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personā</w:t>
      </w:r>
      <w:r w:rsidDel="00000000" w:rsidR="00000000" w:rsidRPr="00000000">
        <w:rPr>
          <w:rFonts w:ascii="Times New Roman" w:cs="Times New Roman" w:eastAsia="Times New Roman" w:hAnsi="Times New Roman"/>
          <w:sz w:val="24"/>
          <w:szCs w:val="24"/>
          <w:rtl w:val="0"/>
        </w:rPr>
        <w:t xml:space="preserve">, kurš rīkojas uz Statūtu pamata, turpmāk – </w:t>
      </w:r>
      <w:r w:rsidDel="00000000" w:rsidR="00000000" w:rsidRPr="00000000">
        <w:rPr>
          <w:rFonts w:ascii="Times New Roman" w:cs="Times New Roman" w:eastAsia="Times New Roman" w:hAnsi="Times New Roman"/>
          <w:b w:val="1"/>
          <w:sz w:val="24"/>
          <w:szCs w:val="24"/>
          <w:rtl w:val="0"/>
        </w:rPr>
        <w:t xml:space="preserve">Pakalpojuma sniedzējs</w:t>
      </w:r>
      <w:r w:rsidDel="00000000" w:rsidR="00000000" w:rsidRPr="00000000">
        <w:rPr>
          <w:rFonts w:ascii="Times New Roman" w:cs="Times New Roman" w:eastAsia="Times New Roman" w:hAnsi="Times New Roman"/>
          <w:sz w:val="24"/>
          <w:szCs w:val="24"/>
          <w:rtl w:val="0"/>
        </w:rPr>
        <w:t xml:space="preserve">,  no vienas puses, un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____________________,</w:t>
      </w:r>
      <w:r w:rsidDel="00000000" w:rsidR="00000000" w:rsidRPr="00000000">
        <w:rPr>
          <w:rFonts w:ascii="Times New Roman" w:cs="Times New Roman" w:eastAsia="Times New Roman" w:hAnsi="Times New Roman"/>
          <w:sz w:val="24"/>
          <w:szCs w:val="24"/>
          <w:rtl w:val="0"/>
        </w:rPr>
        <w:t xml:space="preserve"> reģistrācijas Nr. __________________, _____________________________, tā ______________ kurš rīkojas uz _______________, turpmāk – </w:t>
      </w:r>
      <w:r w:rsidDel="00000000" w:rsidR="00000000" w:rsidRPr="00000000">
        <w:rPr>
          <w:rFonts w:ascii="Times New Roman" w:cs="Times New Roman" w:eastAsia="Times New Roman" w:hAnsi="Times New Roman"/>
          <w:b w:val="1"/>
          <w:sz w:val="24"/>
          <w:szCs w:val="24"/>
          <w:rtl w:val="0"/>
        </w:rPr>
        <w:t xml:space="preserve">Uzņēmums</w:t>
      </w:r>
      <w:r w:rsidDel="00000000" w:rsidR="00000000" w:rsidRPr="00000000">
        <w:rPr>
          <w:rFonts w:ascii="Times New Roman" w:cs="Times New Roman" w:eastAsia="Times New Roman" w:hAnsi="Times New Roman"/>
          <w:sz w:val="24"/>
          <w:szCs w:val="24"/>
          <w:rtl w:val="0"/>
        </w:rPr>
        <w:t xml:space="preserve">, no otras puses</w:t>
      </w:r>
    </w:p>
    <w:p w:rsidR="00000000" w:rsidDel="00000000" w:rsidP="00000000" w:rsidRDefault="00000000" w:rsidRPr="00000000" w14:paraId="0000000B">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noslēdz šādu vienošanos, turpmāk – Vienošanās</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numPr>
          <w:ilvl w:val="0"/>
          <w:numId w:val="2"/>
        </w:numPr>
        <w:spacing w:line="240" w:lineRule="auto"/>
        <w:ind w:left="682" w:right="28" w:hanging="5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VIENOŠANĀS PRIEKŠMETS </w:t>
      </w:r>
      <w:r w:rsidDel="00000000" w:rsidR="00000000" w:rsidRPr="00000000">
        <w:rPr>
          <w:rtl w:val="0"/>
        </w:rPr>
      </w:r>
    </w:p>
    <w:p w:rsidR="00000000" w:rsidDel="00000000" w:rsidP="00000000" w:rsidRDefault="00000000" w:rsidRPr="00000000" w14:paraId="0000000F">
      <w:pPr>
        <w:widowControl w:val="0"/>
        <w:spacing w:line="240" w:lineRule="auto"/>
        <w:ind w:right="2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widowControl w:val="0"/>
        <w:numPr>
          <w:ilvl w:val="1"/>
          <w:numId w:val="2"/>
        </w:numPr>
        <w:spacing w:line="240" w:lineRule="auto"/>
        <w:ind w:left="540" w:right="28" w:hanging="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Vienošanās nosaka sadarbības kārtību starp Pakalpojuma sniedzēju un Uzņēmumu.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2"/>
        </w:numPr>
        <w:spacing w:line="240" w:lineRule="auto"/>
        <w:ind w:left="682" w:hanging="5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SAISTĪBU IZPILDES KĀRTĪBA</w:t>
      </w: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1"/>
          <w:numId w:val="2"/>
        </w:numPr>
        <w:spacing w:line="240" w:lineRule="auto"/>
        <w:ind w:left="540" w:hanging="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Uzņēmējs piedalās Pakalpojuma sniedzēja rīkotajās tiešsaistes izsolēs, interneta platformā </w:t>
      </w:r>
      <w:hyperlink r:id="rId7">
        <w:r w:rsidDel="00000000" w:rsidR="00000000" w:rsidRPr="00000000">
          <w:rPr>
            <w:rFonts w:ascii="Times New Roman" w:cs="Times New Roman" w:eastAsia="Times New Roman" w:hAnsi="Times New Roman"/>
            <w:color w:val="0563c1"/>
            <w:sz w:val="24"/>
            <w:szCs w:val="24"/>
            <w:u w:val="single"/>
            <w:rtl w:val="0"/>
          </w:rPr>
          <w:t xml:space="preserve">www.mezabirza.lv</w:t>
        </w:r>
      </w:hyperlink>
      <w:r w:rsidDel="00000000" w:rsidR="00000000" w:rsidRPr="00000000">
        <w:rPr>
          <w:rFonts w:ascii="Times New Roman" w:cs="Times New Roman" w:eastAsia="Times New Roman" w:hAnsi="Times New Roman"/>
          <w:sz w:val="24"/>
          <w:szCs w:val="24"/>
          <w:rtl w:val="0"/>
        </w:rPr>
        <w:t xml:space="preserve">, turpmāk - Izsole. </w:t>
      </w:r>
    </w:p>
    <w:p w:rsidR="00000000" w:rsidDel="00000000" w:rsidP="00000000" w:rsidRDefault="00000000" w:rsidRPr="00000000" w14:paraId="00000016">
      <w:pPr>
        <w:numPr>
          <w:ilvl w:val="1"/>
          <w:numId w:val="2"/>
        </w:numPr>
        <w:spacing w:line="240" w:lineRule="auto"/>
        <w:ind w:left="540" w:hanging="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Gadījumā, ja Uzņēmējs Izsolē iegūst tiesības slēgt Pirkuma līgumu, Pakalpojuma sniedzējs sagatavo Uzņēmumam rēķinu par sniegtajiem pakalpojumiem, saskaņā ar SIA Meža birža cenrādi. </w:t>
      </w:r>
    </w:p>
    <w:p w:rsidR="00000000" w:rsidDel="00000000" w:rsidP="00000000" w:rsidRDefault="00000000" w:rsidRPr="00000000" w14:paraId="00000017">
      <w:pPr>
        <w:numPr>
          <w:ilvl w:val="1"/>
          <w:numId w:val="2"/>
        </w:numPr>
        <w:spacing w:line="240" w:lineRule="auto"/>
        <w:ind w:left="540" w:hanging="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Vienošanās paredz, ka pēcapmaksas apmērs tiek noteikts ne vairāk kā mīnus 2000 (divi tūkstoši) čiekuru apmērā. </w:t>
      </w:r>
    </w:p>
    <w:p w:rsidR="00000000" w:rsidDel="00000000" w:rsidP="00000000" w:rsidRDefault="00000000" w:rsidRPr="00000000" w14:paraId="00000018">
      <w:pPr>
        <w:numPr>
          <w:ilvl w:val="1"/>
          <w:numId w:val="2"/>
        </w:numPr>
        <w:spacing w:line="240" w:lineRule="auto"/>
        <w:ind w:left="540" w:hanging="54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Uzņēmējs apmaksā rēķinu 10 darba dienu laikā no tā izsniegšanas datuma. Kavēta rēķina apmaksas termiņa gadījumā, Pakalpojuma sniedzējs var liegt tiesības veikt darbības portālā. </w:t>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numPr>
          <w:ilvl w:val="0"/>
          <w:numId w:val="2"/>
        </w:numPr>
        <w:spacing w:before="100" w:line="240" w:lineRule="auto"/>
        <w:ind w:left="682" w:hanging="5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PUŠU ATBILDĪBA</w:t>
      </w:r>
      <w:r w:rsidDel="00000000" w:rsidR="00000000" w:rsidRPr="00000000">
        <w:rPr>
          <w:rtl w:val="0"/>
        </w:rPr>
      </w:r>
    </w:p>
    <w:p w:rsidR="00000000" w:rsidDel="00000000" w:rsidP="00000000" w:rsidRDefault="00000000" w:rsidRPr="00000000" w14:paraId="0000001C">
      <w:pPr>
        <w:widowControl w:val="0"/>
        <w:spacing w:line="240" w:lineRule="auto"/>
        <w:ind w:left="682"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numPr>
          <w:ilvl w:val="1"/>
          <w:numId w:val="2"/>
        </w:numPr>
        <w:tabs>
          <w:tab w:val="left" w:leader="none" w:pos="426"/>
          <w:tab w:val="left" w:leader="none" w:pos="1800"/>
        </w:tabs>
        <w:spacing w:line="240" w:lineRule="auto"/>
        <w:ind w:left="540" w:hanging="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Pakalpojuma sniedzējs un Uzņēmums apņemas neizpaust trešajām personām tehnisko, komerciālo vai jebkāda cita veida informāciju, kas kļuvusi tam pieejama, saistību izpildes laikā, izņemot Latvijas Republikas tiesību aktos paredzētos gadījumus. Šim noteikumam nav laika ierobežojuma un uz to neattiecas Līguma darbības termiņš.</w:t>
      </w:r>
    </w:p>
    <w:p w:rsidR="00000000" w:rsidDel="00000000" w:rsidP="00000000" w:rsidRDefault="00000000" w:rsidRPr="00000000" w14:paraId="0000001E">
      <w:pPr>
        <w:widowControl w:val="0"/>
        <w:spacing w:line="240" w:lineRule="auto"/>
        <w:jc w:val="both"/>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1F">
      <w:pPr>
        <w:widowControl w:val="0"/>
        <w:numPr>
          <w:ilvl w:val="0"/>
          <w:numId w:val="2"/>
        </w:numPr>
        <w:spacing w:line="240" w:lineRule="auto"/>
        <w:ind w:left="993" w:hanging="28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VIENOŠANĀS</w:t>
      </w:r>
      <w:r w:rsidDel="00000000" w:rsidR="00000000" w:rsidRPr="00000000">
        <w:rPr>
          <w:rFonts w:ascii="Times New Roman" w:cs="Times New Roman" w:eastAsia="Times New Roman" w:hAnsi="Times New Roman"/>
          <w:b w:val="1"/>
          <w:sz w:val="24"/>
          <w:szCs w:val="24"/>
          <w:rtl w:val="0"/>
        </w:rPr>
        <w:t xml:space="preserve"> DARBĪBAS TERMIŅŠ</w:t>
      </w:r>
      <w:r w:rsidDel="00000000" w:rsidR="00000000" w:rsidRPr="00000000">
        <w:rPr>
          <w:rtl w:val="0"/>
        </w:rPr>
      </w:r>
    </w:p>
    <w:p w:rsidR="00000000" w:rsidDel="00000000" w:rsidP="00000000" w:rsidRDefault="00000000" w:rsidRPr="00000000" w14:paraId="00000020">
      <w:pPr>
        <w:widowControl w:val="0"/>
        <w:spacing w:line="240" w:lineRule="auto"/>
        <w:ind w:left="99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widowControl w:val="0"/>
        <w:numPr>
          <w:ilvl w:val="1"/>
          <w:numId w:val="1"/>
        </w:numPr>
        <w:tabs>
          <w:tab w:val="left" w:leader="none" w:pos="2488"/>
          <w:tab w:val="left" w:leader="none" w:pos="2632"/>
        </w:tabs>
        <w:spacing w:line="240" w:lineRule="auto"/>
        <w:ind w:left="578" w:hanging="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Vienošanās stājas spēkā tās parakstīšanas brīdī. </w:t>
      </w:r>
    </w:p>
    <w:p w:rsidR="00000000" w:rsidDel="00000000" w:rsidP="00000000" w:rsidRDefault="00000000" w:rsidRPr="00000000" w14:paraId="00000022">
      <w:pPr>
        <w:widowControl w:val="0"/>
        <w:numPr>
          <w:ilvl w:val="1"/>
          <w:numId w:val="1"/>
        </w:numPr>
        <w:tabs>
          <w:tab w:val="left" w:leader="none" w:pos="2488"/>
          <w:tab w:val="left" w:leader="none" w:pos="2632"/>
        </w:tabs>
        <w:spacing w:line="240" w:lineRule="auto"/>
        <w:ind w:left="578" w:hanging="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Vienošanās ir spēkā neierobežotu laiku. </w:t>
      </w:r>
    </w:p>
    <w:p w:rsidR="00000000" w:rsidDel="00000000" w:rsidP="00000000" w:rsidRDefault="00000000" w:rsidRPr="00000000" w14:paraId="00000023">
      <w:pPr>
        <w:widowControl w:val="0"/>
        <w:numPr>
          <w:ilvl w:val="1"/>
          <w:numId w:val="1"/>
        </w:numPr>
        <w:tabs>
          <w:tab w:val="left" w:leader="none" w:pos="2488"/>
          <w:tab w:val="left" w:leader="none" w:pos="2632"/>
        </w:tabs>
        <w:spacing w:line="240" w:lineRule="auto"/>
        <w:ind w:left="578" w:hanging="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Katrai pusei ir tiesības izbeigt Vienošanos, par to desmit dienas iepriekš rakstiski brīdinot otru pusi. </w:t>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numPr>
          <w:ilvl w:val="0"/>
          <w:numId w:val="2"/>
        </w:numPr>
        <w:spacing w:before="100" w:line="240" w:lineRule="auto"/>
        <w:ind w:left="682" w:hanging="5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STRĪDU IZSKATĪŠANAS KĀRTĪBA</w:t>
      </w:r>
      <w:r w:rsidDel="00000000" w:rsidR="00000000" w:rsidRPr="00000000">
        <w:rPr>
          <w:rtl w:val="0"/>
        </w:rPr>
      </w:r>
    </w:p>
    <w:p w:rsidR="00000000" w:rsidDel="00000000" w:rsidP="00000000" w:rsidRDefault="00000000" w:rsidRPr="00000000" w14:paraId="00000026">
      <w:pPr>
        <w:widowControl w:val="0"/>
        <w:spacing w:before="100" w:line="240" w:lineRule="auto"/>
        <w:ind w:left="720" w:firstLine="234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tabs>
          <w:tab w:val="left" w:leader="none" w:pos="345"/>
          <w:tab w:val="left" w:leader="none" w:pos="1461"/>
        </w:tabs>
        <w:spacing w:line="240" w:lineRule="auto"/>
        <w:ind w:lef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Puses</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domstarpības, kas saistītas ar Vienošanās paredzēto saistību izpildi, risina sarunu ceļā. Sarunu gaita tiek protokolēta.</w:t>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Ja Puses nevar vienoties, strīdu nodod izskatīšanai tiesā normatīvajos aktos noteiktajā kārtībā.</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before="100" w:line="240" w:lineRule="auto"/>
        <w:ind w:left="2410" w:firstLine="708.000000000000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6. PUŠU REKVIZĪTI</w:t>
      </w:r>
    </w:p>
    <w:p w:rsidR="00000000" w:rsidDel="00000000" w:rsidP="00000000" w:rsidRDefault="00000000" w:rsidRPr="00000000" w14:paraId="0000002C">
      <w:pPr>
        <w:widowControl w:val="0"/>
        <w:spacing w:before="100" w:line="240" w:lineRule="auto"/>
        <w:ind w:left="2410" w:firstLine="708.000000000000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widowControl w:val="0"/>
        <w:spacing w:before="10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982.0" w:type="dxa"/>
        <w:jc w:val="left"/>
        <w:tblLayout w:type="fixed"/>
        <w:tblLook w:val="0000"/>
      </w:tblPr>
      <w:tblGrid>
        <w:gridCol w:w="4701"/>
        <w:gridCol w:w="5281"/>
        <w:tblGridChange w:id="0">
          <w:tblGrid>
            <w:gridCol w:w="4701"/>
            <w:gridCol w:w="5281"/>
          </w:tblGrid>
        </w:tblGridChange>
      </w:tblGrid>
      <w:tr>
        <w:trPr>
          <w:cantSplit w:val="0"/>
          <w:trHeight w:val="4049" w:hRule="atLeast"/>
          <w:tblHeader w:val="0"/>
        </w:trPr>
        <w:tc>
          <w:tcPr>
            <w:shd w:fill="auto" w:val="clear"/>
          </w:tcPr>
          <w:p w:rsidR="00000000" w:rsidDel="00000000" w:rsidP="00000000" w:rsidRDefault="00000000" w:rsidRPr="00000000" w14:paraId="0000002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PAKALPOJUMA SNIEDZĒJS</w:t>
            </w:r>
          </w:p>
          <w:p w:rsidR="00000000" w:rsidDel="00000000" w:rsidP="00000000" w:rsidRDefault="00000000" w:rsidRPr="00000000" w14:paraId="0000002F">
            <w:pPr>
              <w:widowControl w:val="0"/>
              <w:spacing w:line="240" w:lineRule="auto"/>
              <w:rPr>
                <w:rFonts w:ascii="Times New Roman" w:cs="Times New Roman" w:eastAsia="Times New Roman" w:hAnsi="Times New Roman"/>
                <w:b w:val="1"/>
                <w:sz w:val="24"/>
                <w:szCs w:val="24"/>
                <w:vertAlign w:val="subscript"/>
              </w:rPr>
            </w:pPr>
            <w:r w:rsidDel="00000000" w:rsidR="00000000" w:rsidRPr="00000000">
              <w:rPr>
                <w:rtl w:val="0"/>
              </w:rPr>
            </w:r>
          </w:p>
          <w:p w:rsidR="00000000" w:rsidDel="00000000" w:rsidP="00000000" w:rsidRDefault="00000000" w:rsidRPr="00000000" w14:paraId="0000003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SIA Meža birža</w:t>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Reģ. Nr.: 44103084337</w:t>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maksātāja Nr. </w:t>
            </w:r>
            <w:r w:rsidDel="00000000" w:rsidR="00000000" w:rsidRPr="00000000">
              <w:rPr>
                <w:rFonts w:ascii="Times New Roman" w:cs="Times New Roman" w:eastAsia="Times New Roman" w:hAnsi="Times New Roman"/>
                <w:sz w:val="24"/>
                <w:szCs w:val="24"/>
                <w:highlight w:val="white"/>
                <w:rtl w:val="0"/>
              </w:rPr>
              <w:t xml:space="preserve">LV44103084337</w:t>
            </w:r>
            <w:r w:rsidDel="00000000" w:rsidR="00000000" w:rsidRPr="00000000">
              <w:rPr>
                <w:rtl w:val="0"/>
              </w:rPr>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Juridiskā adrese: Dēļu iela iela 4-8, Rīga, LV1004</w:t>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Banka: </w:t>
            </w:r>
            <w:r w:rsidDel="00000000" w:rsidR="00000000" w:rsidRPr="00000000">
              <w:rPr>
                <w:rFonts w:ascii="Times New Roman" w:cs="Times New Roman" w:eastAsia="Times New Roman" w:hAnsi="Times New Roman"/>
                <w:color w:val="231f20"/>
                <w:sz w:val="24"/>
                <w:szCs w:val="24"/>
                <w:highlight w:val="white"/>
                <w:rtl w:val="0"/>
              </w:rPr>
              <w:t xml:space="preserve">Citadele banka AS</w:t>
            </w:r>
            <w:r w:rsidDel="00000000" w:rsidR="00000000" w:rsidRPr="00000000">
              <w:rPr>
                <w:rtl w:val="0"/>
              </w:rPr>
            </w:r>
          </w:p>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Norēķinu konts Nr. </w:t>
            </w:r>
            <w:r w:rsidDel="00000000" w:rsidR="00000000" w:rsidRPr="00000000">
              <w:rPr>
                <w:rFonts w:ascii="Times New Roman" w:cs="Times New Roman" w:eastAsia="Times New Roman" w:hAnsi="Times New Roman"/>
                <w:sz w:val="24"/>
                <w:szCs w:val="24"/>
                <w:highlight w:val="white"/>
                <w:rtl w:val="0"/>
              </w:rPr>
              <w:t xml:space="preserve">LV87PARX0023271030001</w:t>
            </w:r>
            <w:r w:rsidDel="00000000" w:rsidR="00000000" w:rsidRPr="00000000">
              <w:rPr>
                <w:rtl w:val="0"/>
              </w:rPr>
            </w:r>
          </w:p>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Valdes loceklis </w:t>
            </w:r>
          </w:p>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w:t>
            </w:r>
          </w:p>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Janeks Kamerovskis</w:t>
            </w:r>
          </w:p>
        </w:tc>
        <w:tc>
          <w:tcPr>
            <w:shd w:fill="auto" w:val="clear"/>
          </w:tcPr>
          <w:p w:rsidR="00000000" w:rsidDel="00000000" w:rsidP="00000000" w:rsidRDefault="00000000" w:rsidRPr="00000000" w14:paraId="0000003B">
            <w:pPr>
              <w:widowControl w:val="0"/>
              <w:spacing w:line="240" w:lineRule="auto"/>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UZŅĒMUMS</w:t>
            </w:r>
          </w:p>
          <w:p w:rsidR="00000000" w:rsidDel="00000000" w:rsidP="00000000" w:rsidRDefault="00000000" w:rsidRPr="00000000" w14:paraId="0000003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b w:val="1"/>
                <w:sz w:val="24"/>
                <w:szCs w:val="24"/>
              </w:rPr>
            </w:pPr>
            <w:bookmarkStart w:colFirst="0" w:colLast="0" w:name="_heading=h.1fob9te" w:id="2"/>
            <w:bookmarkEnd w:id="2"/>
            <w:r w:rsidDel="00000000" w:rsidR="00000000" w:rsidRPr="00000000">
              <w:rPr>
                <w:rFonts w:ascii="Times New Roman" w:cs="Times New Roman" w:eastAsia="Times New Roman" w:hAnsi="Times New Roman"/>
                <w:b w:val="1"/>
                <w:sz w:val="24"/>
                <w:szCs w:val="24"/>
                <w:rtl w:val="0"/>
              </w:rPr>
              <w:t xml:space="preserve">___________________________</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Reģistrācijas Nr. __________________</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maksātāja Nr. ________________________</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bookmarkStart w:colFirst="0" w:colLast="0" w:name="_heading=h.3znysh7" w:id="3"/>
            <w:bookmarkEnd w:id="3"/>
            <w:r w:rsidDel="00000000" w:rsidR="00000000" w:rsidRPr="00000000">
              <w:rPr>
                <w:rFonts w:ascii="Times New Roman" w:cs="Times New Roman" w:eastAsia="Times New Roman" w:hAnsi="Times New Roman"/>
                <w:sz w:val="24"/>
                <w:szCs w:val="24"/>
                <w:rtl w:val="0"/>
              </w:rPr>
              <w:t xml:space="preserve">Juridiskā adrese: ________________________</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Banka: _____________________</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Norēķinu konts Nr. ________________________</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Valdes loceklis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w:t>
            </w:r>
          </w:p>
          <w:p w:rsidR="00000000" w:rsidDel="00000000" w:rsidP="00000000" w:rsidRDefault="00000000" w:rsidRPr="00000000" w14:paraId="00000049">
            <w:pPr>
              <w:widowControl w:val="0"/>
              <w:shd w:fill="ffffff" w:val="clear"/>
              <w:spacing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A">
      <w:pPr>
        <w:widowControl w:val="0"/>
        <w:spacing w:before="10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tabs>
          <w:tab w:val="left" w:leader="none" w:pos="530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decimal"/>
      <w:lvlText w:val="%1."/>
      <w:lvlJc w:val="left"/>
      <w:pPr>
        <w:ind w:left="682" w:hanging="540"/>
      </w:pPr>
      <w:rPr>
        <w:b w:val="1"/>
      </w:rPr>
    </w:lvl>
    <w:lvl w:ilvl="1">
      <w:start w:val="1"/>
      <w:numFmt w:val="decimal"/>
      <w:lvlText w:val="%1.%2."/>
      <w:lvlJc w:val="left"/>
      <w:pPr>
        <w:ind w:left="540" w:hanging="540"/>
      </w:pPr>
      <w:rPr>
        <w:b w:val="0"/>
        <w:i w:val="0"/>
        <w:sz w:val="22"/>
        <w:szCs w:val="22"/>
      </w:rPr>
    </w:lvl>
    <w:lvl w:ilvl="2">
      <w:start w:val="1"/>
      <w:numFmt w:val="decimal"/>
      <w:lvlText w:val="%1.%2.%3."/>
      <w:lvlJc w:val="left"/>
      <w:pPr>
        <w:ind w:left="1440" w:hanging="720"/>
      </w:pPr>
      <w:rPr>
        <w:rFonts w:ascii="Times New Roman" w:cs="Times New Roman" w:eastAsia="Times New Roman" w:hAnsi="Times New Roman"/>
        <w:b w:val="0"/>
        <w:i w:val="0"/>
        <w:strike w:val="0"/>
      </w:rPr>
    </w:lvl>
    <w:lvl w:ilvl="3">
      <w:start w:val="1"/>
      <w:numFmt w:val="decimal"/>
      <w:lvlText w:val="10.3.4.%4."/>
      <w:lvlJc w:val="left"/>
      <w:pPr>
        <w:ind w:left="2280" w:hanging="720"/>
      </w:pPr>
      <w:rPr>
        <w:b w:val="0"/>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ezabirz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0wPefA3VFlpB5nHr1GYOoq/NQQ==">AMUW2mWKfXEr+T8Dk+heBfjah+Qs6ECiCfc1Rkmx+DxDBEEH+kvD+nQ1OVXzk4ZHi6EV9olGrM4CQiVh85HzxCWJRohrynScvtMw8BINWeZxpXMpTPAcePoudSdl6wixYjUegmHqDJ/H3moNW/3FB3KZR1MYgic9t8fcAMNipVkLQPr1n60kERA=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2022-04-12T11:39:00Z</dcterms:created>
</cp:coreProperties>
</file>